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F3A5F" w:sz="18" w:space="6"/>
        </w:pBdr>
        <w:spacing w:after="40"/>
      </w:pPr>
      <w:r>
        <w:rPr>
          <w:b/>
          <w:bCs/>
          <w:color w:val="16293F"/>
          <w:sz w:val="36"/>
          <w:szCs w:val="36"/>
        </w:rPr>
        <w:t xml:space="preserve">Business meeting record</w:t>
      </w:r>
    </w:p>
    <w:p>
      <w:pPr>
        <w:spacing w:after="260"/>
      </w:pPr>
      <w:r>
        <w:rPr>
          <w:color w:val="6B7280"/>
          <w:sz w:val="18"/>
          <w:szCs w:val="18"/>
        </w:rPr>
        <w:t xml:space="preserve">GHL Financial Services  ·  2026 tax year  ·  one record per meeting, completed on the day</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rHeight w:val="420" w:hRule="atLeast"/>
        </w:trPr>
        <w:tc>
          <w:tcPr>
            <w:tcW w:type="pct" w:w="17%"/>
            <w:tcBorders>
              <w:top w:val="single" w:color="C7CCD4" w:sz="2"/>
              <w:left w:val="single" w:color="C7CCD4" w:sz="2"/>
              <w:bottom w:val="single" w:color="C7CCD4" w:sz="2"/>
              <w:right w:val="single" w:color="C7CCD4" w:sz="2"/>
            </w:tcBorders>
            <w:shd w:fill="EFF2F6"/>
            <w:tcMar>
              <w:top w:type="dxa" w:w="90"/>
              <w:left w:type="dxa" w:w="140"/>
              <w:bottom w:type="dxa" w:w="90"/>
              <w:right w:type="dxa" w:w="140"/>
            </w:tcMar>
            <w:vAlign w:val="top"/>
          </w:tcPr>
          <w:p>
            <w:pPr>
              <w:spacing w:after="0"/>
            </w:pPr>
            <w:r>
              <w:rPr>
                <w:b/>
                <w:bCs/>
                <w:color w:val="1F2937"/>
                <w:sz w:val="22"/>
                <w:szCs w:val="22"/>
              </w:rPr>
              <w:t xml:space="preserve">Date</w:t>
            </w:r>
          </w:p>
        </w:tc>
        <w:tc>
          <w:tcPr>
            <w:tcW w:type="pct" w:w="33%"/>
            <w:tcBorders>
              <w:top w:val="single" w:color="C7CCD4" w:sz="2"/>
              <w:left w:val="single" w:color="C7CCD4" w:sz="2"/>
              <w:bottom w:val="single" w:color="C7CCD4" w:sz="2"/>
              <w:right w:val="single" w:color="C7CCD4" w:sz="2"/>
            </w:tcBorders>
            <w:tcMar>
              <w:top w:type="dxa" w:w="90"/>
              <w:left w:type="dxa" w:w="140"/>
              <w:bottom w:type="dxa" w:w="90"/>
              <w:right w:type="dxa" w:w="140"/>
            </w:tcMar>
            <w:vAlign w:val="top"/>
          </w:tcPr>
          <w:p>
            <w:pPr>
              <w:spacing w:after="0"/>
            </w:pPr>
            <w:r>
              <w:rPr>
                <w:i/>
                <w:iCs/>
                <w:color w:val="8A6420"/>
                <w:sz w:val="18"/>
                <w:szCs w:val="18"/>
              </w:rPr>
              <w:t xml:space="preserve">e.g. 14 March 2026</w:t>
            </w:r>
          </w:p>
        </w:tc>
        <w:tc>
          <w:tcPr>
            <w:tcW w:type="pct" w:w="17%"/>
            <w:tcBorders>
              <w:top w:val="single" w:color="C7CCD4" w:sz="2"/>
              <w:left w:val="single" w:color="C7CCD4" w:sz="2"/>
              <w:bottom w:val="single" w:color="C7CCD4" w:sz="2"/>
              <w:right w:val="single" w:color="C7CCD4" w:sz="2"/>
            </w:tcBorders>
            <w:shd w:fill="EFF2F6"/>
            <w:tcMar>
              <w:top w:type="dxa" w:w="90"/>
              <w:left w:type="dxa" w:w="140"/>
              <w:bottom w:type="dxa" w:w="90"/>
              <w:right w:type="dxa" w:w="140"/>
            </w:tcMar>
            <w:vAlign w:val="top"/>
          </w:tcPr>
          <w:p>
            <w:pPr>
              <w:spacing w:after="0"/>
            </w:pPr>
            <w:r>
              <w:rPr>
                <w:b/>
                <w:bCs/>
                <w:color w:val="1F2937"/>
                <w:sz w:val="22"/>
                <w:szCs w:val="22"/>
              </w:rPr>
              <w:t xml:space="preserve">Location</w:t>
            </w:r>
          </w:p>
        </w:tc>
        <w:tc>
          <w:tcPr>
            <w:tcW w:type="pct" w:w="33%"/>
            <w:tcBorders>
              <w:top w:val="single" w:color="C7CCD4" w:sz="2"/>
              <w:left w:val="single" w:color="C7CCD4" w:sz="2"/>
              <w:bottom w:val="single" w:color="C7CCD4" w:sz="2"/>
              <w:right w:val="single" w:color="C7CCD4" w:sz="2"/>
            </w:tcBorders>
            <w:tcMar>
              <w:top w:type="dxa" w:w="90"/>
              <w:left w:type="dxa" w:w="140"/>
              <w:bottom w:type="dxa" w:w="90"/>
              <w:right w:type="dxa" w:w="140"/>
            </w:tcMar>
            <w:vAlign w:val="top"/>
          </w:tcPr>
          <w:p>
            <w:pPr>
              <w:spacing w:after="0"/>
            </w:pPr>
            <w:r>
              <w:rPr>
                <w:i/>
                <w:iCs/>
                <w:color w:val="8A6420"/>
                <w:sz w:val="18"/>
                <w:szCs w:val="18"/>
              </w:rPr>
              <w:t xml:space="preserve">e.g. home office, Bedford TX</w:t>
            </w:r>
          </w:p>
        </w:tc>
      </w:tr>
    </w:tbl>
    <w:p>
      <w:pPr>
        <w:spacing w:after="0" w:before="0" w:line="180"/>
      </w:pP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single" w:color="C7CCD4" w:sz="2"/>
              <w:left w:val="single" w:color="C7CCD4" w:sz="2"/>
              <w:bottom w:val="single" w:color="C7CCD4" w:sz="2"/>
              <w:right w:val="single" w:color="C7CCD4" w:sz="2"/>
            </w:tcBorders>
            <w:shd w:fill="1F3A5F"/>
            <w:tcMar>
              <w:top w:type="dxa" w:w="90"/>
              <w:left w:type="dxa" w:w="140"/>
              <w:bottom w:type="dxa" w:w="90"/>
              <w:right w:type="dxa" w:w="140"/>
            </w:tcMar>
            <w:vAlign w:val="top"/>
          </w:tcPr>
          <w:p>
            <w:pPr>
              <w:spacing w:after="0"/>
            </w:pPr>
            <w:r>
              <w:rPr>
                <w:b/>
                <w:bCs/>
                <w:color w:val="FFFFFF"/>
                <w:sz w:val="22"/>
                <w:szCs w:val="22"/>
              </w:rPr>
              <w:t xml:space="preserve">Business purpose</w:t>
            </w:r>
          </w:p>
        </w:tc>
      </w:tr>
      <w:tr>
        <w:tc>
          <w:tcPr>
            <w:tcW w:type="pct" w:w="100%"/>
            <w:tcBorders>
              <w:top w:val="single" w:color="C7CCD4" w:sz="2"/>
              <w:left w:val="single" w:color="C7CCD4" w:sz="2"/>
              <w:bottom w:val="single" w:color="C7CCD4" w:sz="2"/>
              <w:right w:val="single" w:color="C7CCD4" w:sz="2"/>
            </w:tcBorders>
            <w:tcMar>
              <w:top w:type="dxa" w:w="90"/>
              <w:left w:type="dxa" w:w="140"/>
              <w:bottom w:type="dxa" w:w="90"/>
              <w:right w:type="dxa" w:w="140"/>
            </w:tcMar>
            <w:vAlign w:val="top"/>
          </w:tcPr>
          <w:p>
            <w:pPr>
              <w:spacing w:after="0"/>
            </w:pPr>
            <w:r>
              <w:rPr>
                <w:i/>
                <w:iCs/>
                <w:color w:val="8A6420"/>
                <w:sz w:val="18"/>
                <w:szCs w:val="18"/>
              </w:rPr>
              <w:t xml:space="preserve">Why the business needed this meeting — the reason it was held, not the topics covered.</w:t>
            </w:r>
          </w:p>
        </w:tc>
      </w:tr>
      <w:tr>
        <w:trPr>
          <w:trHeight w:val="380" w:hRule="atLeast"/>
        </w:trPr>
        <w:tc>
          <w:tcPr>
            <w:tcW w:type="pct" w:w="100%"/>
            <w:tcBorders>
              <w:top w:val="single" w:color="C7CCD4" w:sz="2"/>
              <w:left w:val="single" w:color="C7CCD4" w:sz="2"/>
              <w:bottom w:val="single" w:color="C7CCD4" w:sz="2"/>
              <w:right w:val="single" w:color="C7CCD4" w:sz="2"/>
            </w:tcBorders>
            <w:tcMar>
              <w:top w:type="dxa" w:w="90"/>
              <w:left w:type="dxa" w:w="140"/>
              <w:bottom w:type="dxa" w:w="90"/>
              <w:right w:type="dxa" w:w="140"/>
            </w:tcMar>
            <w:vAlign w:val="top"/>
          </w:tcPr>
          <w:p>
            <w:pPr>
              <w:spacing w:after="0"/>
            </w:pPr>
          </w:p>
        </w:tc>
      </w:tr>
    </w:tbl>
    <w:p>
      <w:pPr>
        <w:spacing w:after="0" w:before="0" w:line="180"/>
      </w:pP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single" w:color="C7CCD4" w:sz="2"/>
              <w:left w:val="single" w:color="C7CCD4" w:sz="2"/>
              <w:bottom w:val="single" w:color="C7CCD4" w:sz="2"/>
              <w:right w:val="single" w:color="C7CCD4" w:sz="2"/>
            </w:tcBorders>
            <w:shd w:fill="1F3A5F"/>
            <w:tcMar>
              <w:top w:type="dxa" w:w="90"/>
              <w:left w:type="dxa" w:w="140"/>
              <w:bottom w:type="dxa" w:w="90"/>
              <w:right w:type="dxa" w:w="140"/>
            </w:tcMar>
            <w:vAlign w:val="top"/>
          </w:tcPr>
          <w:p>
            <w:pPr>
              <w:spacing w:after="0"/>
            </w:pPr>
            <w:r>
              <w:rPr>
                <w:b/>
                <w:bCs/>
                <w:color w:val="FFFFFF"/>
                <w:sz w:val="22"/>
                <w:szCs w:val="22"/>
              </w:rPr>
              <w:t xml:space="preserve">Attendees, and their role in the business</w:t>
            </w:r>
          </w:p>
        </w:tc>
      </w:tr>
      <w:tr>
        <w:tc>
          <w:tcPr>
            <w:tcW w:type="pct" w:w="100%"/>
            <w:tcBorders>
              <w:top w:val="single" w:color="C7CCD4" w:sz="2"/>
              <w:left w:val="single" w:color="C7CCD4" w:sz="2"/>
              <w:bottom w:val="single" w:color="C7CCD4" w:sz="2"/>
              <w:right w:val="single" w:color="C7CCD4" w:sz="2"/>
            </w:tcBorders>
            <w:tcMar>
              <w:top w:type="dxa" w:w="90"/>
              <w:left w:type="dxa" w:w="140"/>
              <w:bottom w:type="dxa" w:w="90"/>
              <w:right w:type="dxa" w:w="140"/>
            </w:tcMar>
            <w:vAlign w:val="top"/>
          </w:tcPr>
          <w:p>
            <w:pPr>
              <w:spacing w:after="0"/>
            </w:pPr>
            <w:r>
              <w:rPr>
                <w:i/>
                <w:iCs/>
                <w:color w:val="8A6420"/>
                <w:sz w:val="18"/>
                <w:szCs w:val="18"/>
              </w:rPr>
              <w:t xml:space="preserve">e.g. M. Rivera (owner), J. Rivera (operations)</w:t>
            </w:r>
          </w:p>
        </w:tc>
      </w:tr>
      <w:tr>
        <w:trPr>
          <w:trHeight w:val="380" w:hRule="atLeast"/>
        </w:trPr>
        <w:tc>
          <w:tcPr>
            <w:tcW w:type="pct" w:w="100%"/>
            <w:tcBorders>
              <w:top w:val="single" w:color="C7CCD4" w:sz="2"/>
              <w:left w:val="single" w:color="C7CCD4" w:sz="2"/>
              <w:bottom w:val="single" w:color="C7CCD4" w:sz="2"/>
              <w:right w:val="single" w:color="C7CCD4" w:sz="2"/>
            </w:tcBorders>
            <w:tcMar>
              <w:top w:type="dxa" w:w="90"/>
              <w:left w:type="dxa" w:w="140"/>
              <w:bottom w:type="dxa" w:w="90"/>
              <w:right w:type="dxa" w:w="140"/>
            </w:tcMar>
            <w:vAlign w:val="top"/>
          </w:tcPr>
          <w:p>
            <w:pPr>
              <w:spacing w:after="0"/>
            </w:pPr>
          </w:p>
        </w:tc>
      </w:tr>
    </w:tbl>
    <w:p>
      <w:pPr>
        <w:spacing w:after="0" w:before="0" w:line="180"/>
      </w:pP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single" w:color="C7CCD4" w:sz="2"/>
              <w:left w:val="single" w:color="C7CCD4" w:sz="2"/>
              <w:bottom w:val="single" w:color="C7CCD4" w:sz="2"/>
              <w:right w:val="single" w:color="C7CCD4" w:sz="2"/>
            </w:tcBorders>
            <w:shd w:fill="1F3A5F"/>
            <w:tcMar>
              <w:top w:type="dxa" w:w="90"/>
              <w:left w:type="dxa" w:w="140"/>
              <w:bottom w:type="dxa" w:w="90"/>
              <w:right w:type="dxa" w:w="140"/>
            </w:tcMar>
            <w:vAlign w:val="top"/>
          </w:tcPr>
          <w:p>
            <w:pPr>
              <w:spacing w:after="0"/>
            </w:pPr>
            <w:r>
              <w:rPr>
                <w:b/>
                <w:bCs/>
                <w:color w:val="FFFFFF"/>
                <w:sz w:val="22"/>
                <w:szCs w:val="22"/>
              </w:rPr>
              <w:t xml:space="preserve">Agenda</w:t>
            </w:r>
          </w:p>
        </w:tc>
      </w:tr>
      <w:tr>
        <w:tc>
          <w:tcPr>
            <w:tcW w:type="pct" w:w="100%"/>
            <w:tcBorders>
              <w:top w:val="single" w:color="C7CCD4" w:sz="2"/>
              <w:left w:val="single" w:color="C7CCD4" w:sz="2"/>
              <w:bottom w:val="single" w:color="C7CCD4" w:sz="2"/>
              <w:right w:val="single" w:color="C7CCD4" w:sz="2"/>
            </w:tcBorders>
            <w:tcMar>
              <w:top w:type="dxa" w:w="90"/>
              <w:left w:type="dxa" w:w="140"/>
              <w:bottom w:type="dxa" w:w="90"/>
              <w:right w:type="dxa" w:w="140"/>
            </w:tcMar>
            <w:vAlign w:val="top"/>
          </w:tcPr>
          <w:p>
            <w:pPr>
              <w:spacing w:after="0"/>
            </w:pPr>
            <w:r>
              <w:rPr>
                <w:i/>
                <w:iCs/>
                <w:color w:val="8A6420"/>
                <w:sz w:val="18"/>
                <w:szCs w:val="18"/>
              </w:rPr>
              <w:t xml:space="preserve">Set before the meeting, not written up after it.</w:t>
            </w:r>
          </w:p>
        </w:tc>
      </w:tr>
      <w:tr>
        <w:trPr>
          <w:trHeight w:val="380" w:hRule="atLeast"/>
        </w:trPr>
        <w:tc>
          <w:tcPr>
            <w:tcW w:type="pct" w:w="100%"/>
            <w:tcBorders>
              <w:top w:val="single" w:color="C7CCD4" w:sz="2"/>
              <w:left w:val="single" w:color="C7CCD4" w:sz="2"/>
              <w:bottom w:val="single" w:color="C7CCD4" w:sz="2"/>
              <w:right w:val="single" w:color="C7CCD4" w:sz="2"/>
            </w:tcBorders>
            <w:tcMar>
              <w:top w:type="dxa" w:w="90"/>
              <w:left w:type="dxa" w:w="140"/>
              <w:bottom w:type="dxa" w:w="90"/>
              <w:right w:type="dxa" w:w="140"/>
            </w:tcMar>
            <w:vAlign w:val="top"/>
          </w:tcPr>
          <w:p>
            <w:pPr>
              <w:spacing w:after="0"/>
            </w:pPr>
          </w:p>
        </w:tc>
      </w:tr>
    </w:tbl>
    <w:p>
      <w:pPr>
        <w:spacing w:after="0" w:before="0" w:line="180"/>
      </w:pP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single" w:color="C7CCD4" w:sz="2"/>
              <w:left w:val="single" w:color="C7CCD4" w:sz="2"/>
              <w:bottom w:val="single" w:color="C7CCD4" w:sz="2"/>
              <w:right w:val="single" w:color="C7CCD4" w:sz="2"/>
            </w:tcBorders>
            <w:shd w:fill="1F3A5F"/>
            <w:tcMar>
              <w:top w:type="dxa" w:w="90"/>
              <w:left w:type="dxa" w:w="140"/>
              <w:bottom w:type="dxa" w:w="90"/>
              <w:right w:type="dxa" w:w="140"/>
            </w:tcMar>
            <w:vAlign w:val="top"/>
          </w:tcPr>
          <w:p>
            <w:pPr>
              <w:spacing w:after="0"/>
            </w:pPr>
            <w:r>
              <w:rPr>
                <w:b/>
                <w:bCs/>
                <w:color w:val="FFFFFF"/>
                <w:sz w:val="22"/>
                <w:szCs w:val="22"/>
              </w:rPr>
              <w:t xml:space="preserve">Decisions taken</w:t>
            </w:r>
          </w:p>
        </w:tc>
      </w:tr>
      <w:tr>
        <w:tc>
          <w:tcPr>
            <w:tcW w:type="pct" w:w="100%"/>
            <w:tcBorders>
              <w:top w:val="single" w:color="C7CCD4" w:sz="2"/>
              <w:left w:val="single" w:color="C7CCD4" w:sz="2"/>
              <w:bottom w:val="single" w:color="C7CCD4" w:sz="2"/>
              <w:right w:val="single" w:color="C7CCD4" w:sz="2"/>
            </w:tcBorders>
            <w:tcMar>
              <w:top w:type="dxa" w:w="90"/>
              <w:left w:type="dxa" w:w="140"/>
              <w:bottom w:type="dxa" w:w="90"/>
              <w:right w:type="dxa" w:w="140"/>
            </w:tcMar>
            <w:vAlign w:val="top"/>
          </w:tcPr>
          <w:p>
            <w:pPr>
              <w:spacing w:after="0"/>
            </w:pPr>
            <w:r>
              <w:rPr>
                <w:i/>
                <w:iCs/>
                <w:color w:val="8A6420"/>
                <w:sz w:val="18"/>
                <w:szCs w:val="18"/>
              </w:rPr>
              <w:t xml:space="preserve">What was actually decided. A decision with no record is indistinguishable from a conversation.</w:t>
            </w:r>
          </w:p>
        </w:tc>
      </w:tr>
      <w:tr>
        <w:trPr>
          <w:trHeight w:val="380" w:hRule="atLeast"/>
        </w:trPr>
        <w:tc>
          <w:tcPr>
            <w:tcW w:type="pct" w:w="100%"/>
            <w:tcBorders>
              <w:top w:val="single" w:color="C7CCD4" w:sz="2"/>
              <w:left w:val="single" w:color="C7CCD4" w:sz="2"/>
              <w:bottom w:val="single" w:color="C7CCD4" w:sz="2"/>
              <w:right w:val="single" w:color="C7CCD4" w:sz="2"/>
            </w:tcBorders>
            <w:tcMar>
              <w:top w:type="dxa" w:w="90"/>
              <w:left w:type="dxa" w:w="140"/>
              <w:bottom w:type="dxa" w:w="90"/>
              <w:right w:type="dxa" w:w="140"/>
            </w:tcMar>
            <w:vAlign w:val="top"/>
          </w:tcPr>
          <w:p>
            <w:pPr>
              <w:spacing w:after="0"/>
            </w:pPr>
          </w:p>
        </w:tc>
      </w:tr>
      <w:tr>
        <w:trPr>
          <w:trHeight w:val="380" w:hRule="atLeast"/>
        </w:trPr>
        <w:tc>
          <w:tcPr>
            <w:tcW w:type="pct" w:w="100%"/>
            <w:tcBorders>
              <w:top w:val="single" w:color="C7CCD4" w:sz="2"/>
              <w:left w:val="single" w:color="C7CCD4" w:sz="2"/>
              <w:bottom w:val="single" w:color="C7CCD4" w:sz="2"/>
              <w:right w:val="single" w:color="C7CCD4" w:sz="2"/>
            </w:tcBorders>
            <w:tcMar>
              <w:top w:type="dxa" w:w="90"/>
              <w:left w:type="dxa" w:w="140"/>
              <w:bottom w:type="dxa" w:w="90"/>
              <w:right w:type="dxa" w:w="140"/>
            </w:tcMar>
            <w:vAlign w:val="top"/>
          </w:tcPr>
          <w:p>
            <w:pPr>
              <w:spacing w:after="0"/>
            </w:pPr>
          </w:p>
        </w:tc>
      </w:tr>
    </w:tbl>
    <w:p>
      <w:pPr>
        <w:spacing w:after="0" w:before="0" w:line="180"/>
      </w:pP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single" w:color="C7CCD4" w:sz="2"/>
              <w:left w:val="single" w:color="C7CCD4" w:sz="2"/>
              <w:bottom w:val="single" w:color="C7CCD4" w:sz="2"/>
              <w:right w:val="single" w:color="C7CCD4" w:sz="2"/>
            </w:tcBorders>
            <w:shd w:fill="1F3A5F"/>
            <w:tcMar>
              <w:top w:type="dxa" w:w="90"/>
              <w:left w:type="dxa" w:w="140"/>
              <w:bottom w:type="dxa" w:w="90"/>
              <w:right w:type="dxa" w:w="140"/>
            </w:tcMar>
            <w:vAlign w:val="top"/>
          </w:tcPr>
          <w:p>
            <w:pPr>
              <w:spacing w:after="0"/>
            </w:pPr>
            <w:r>
              <w:rPr>
                <w:b/>
                <w:bCs/>
                <w:color w:val="FFFFFF"/>
                <w:sz w:val="22"/>
                <w:szCs w:val="22"/>
              </w:rPr>
              <w:t xml:space="preserve">Follow-up actions, and who owns each one</w:t>
            </w:r>
          </w:p>
        </w:tc>
      </w:tr>
      <w:tr>
        <w:tc>
          <w:tcPr>
            <w:tcW w:type="pct" w:w="100%"/>
            <w:tcBorders>
              <w:top w:val="single" w:color="C7CCD4" w:sz="2"/>
              <w:left w:val="single" w:color="C7CCD4" w:sz="2"/>
              <w:bottom w:val="single" w:color="C7CCD4" w:sz="2"/>
              <w:right w:val="single" w:color="C7CCD4" w:sz="2"/>
            </w:tcBorders>
            <w:tcMar>
              <w:top w:type="dxa" w:w="90"/>
              <w:left w:type="dxa" w:w="140"/>
              <w:bottom w:type="dxa" w:w="90"/>
              <w:right w:type="dxa" w:w="140"/>
            </w:tcMar>
            <w:vAlign w:val="top"/>
          </w:tcPr>
          <w:p>
            <w:pPr>
              <w:spacing w:after="0"/>
            </w:pPr>
            <w:r>
              <w:rPr>
                <w:i/>
                <w:iCs/>
                <w:color w:val="8A6420"/>
                <w:sz w:val="18"/>
                <w:szCs w:val="18"/>
              </w:rPr>
              <w:t xml:space="preserve">Each action, its owner, and the date it is due.</w:t>
            </w:r>
          </w:p>
        </w:tc>
      </w:tr>
      <w:tr>
        <w:trPr>
          <w:trHeight w:val="380" w:hRule="atLeast"/>
        </w:trPr>
        <w:tc>
          <w:tcPr>
            <w:tcW w:type="pct" w:w="100%"/>
            <w:tcBorders>
              <w:top w:val="single" w:color="C7CCD4" w:sz="2"/>
              <w:left w:val="single" w:color="C7CCD4" w:sz="2"/>
              <w:bottom w:val="single" w:color="C7CCD4" w:sz="2"/>
              <w:right w:val="single" w:color="C7CCD4" w:sz="2"/>
            </w:tcBorders>
            <w:tcMar>
              <w:top w:type="dxa" w:w="90"/>
              <w:left w:type="dxa" w:w="140"/>
              <w:bottom w:type="dxa" w:w="90"/>
              <w:right w:type="dxa" w:w="140"/>
            </w:tcMar>
            <w:vAlign w:val="top"/>
          </w:tcPr>
          <w:p>
            <w:pPr>
              <w:spacing w:after="0"/>
            </w:pPr>
          </w:p>
        </w:tc>
      </w:tr>
      <w:tr>
        <w:trPr>
          <w:trHeight w:val="380" w:hRule="atLeast"/>
        </w:trPr>
        <w:tc>
          <w:tcPr>
            <w:tcW w:type="pct" w:w="100%"/>
            <w:tcBorders>
              <w:top w:val="single" w:color="C7CCD4" w:sz="2"/>
              <w:left w:val="single" w:color="C7CCD4" w:sz="2"/>
              <w:bottom w:val="single" w:color="C7CCD4" w:sz="2"/>
              <w:right w:val="single" w:color="C7CCD4" w:sz="2"/>
            </w:tcBorders>
            <w:tcMar>
              <w:top w:type="dxa" w:w="90"/>
              <w:left w:type="dxa" w:w="140"/>
              <w:bottom w:type="dxa" w:w="90"/>
              <w:right w:type="dxa" w:w="140"/>
            </w:tcMar>
            <w:vAlign w:val="top"/>
          </w:tcPr>
          <w:p>
            <w:pPr>
              <w:spacing w:after="0"/>
            </w:pPr>
          </w:p>
        </w:tc>
      </w:tr>
    </w:tbl>
    <w:p>
      <w:pPr>
        <w:spacing w:after="0" w:before="0" w:line="180"/>
      </w:pP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420" w:hRule="atLeast"/>
        </w:trPr>
        <w:tc>
          <w:tcPr>
            <w:tcW w:type="pct" w:w="42%"/>
            <w:tcBorders>
              <w:top w:val="single" w:color="C7CCD4" w:sz="2"/>
              <w:left w:val="single" w:color="C7CCD4" w:sz="2"/>
              <w:bottom w:val="single" w:color="C7CCD4" w:sz="2"/>
              <w:right w:val="single" w:color="C7CCD4" w:sz="2"/>
            </w:tcBorders>
            <w:shd w:fill="EFF2F6"/>
            <w:tcMar>
              <w:top w:type="dxa" w:w="90"/>
              <w:left w:type="dxa" w:w="140"/>
              <w:bottom w:type="dxa" w:w="90"/>
              <w:right w:type="dxa" w:w="140"/>
            </w:tcMar>
            <w:vAlign w:val="top"/>
          </w:tcPr>
          <w:p>
            <w:pPr>
              <w:spacing w:after="0"/>
            </w:pPr>
            <w:r>
              <w:rPr>
                <w:b/>
                <w:bCs/>
                <w:color w:val="1F2937"/>
                <w:sz w:val="22"/>
                <w:szCs w:val="22"/>
              </w:rPr>
              <w:t xml:space="preserve">Recorded by</w:t>
            </w:r>
          </w:p>
        </w:tc>
        <w:tc>
          <w:tcPr>
            <w:tcW w:type="pct" w:w="58%"/>
            <w:tcBorders>
              <w:top w:val="single" w:color="C7CCD4" w:sz="2"/>
              <w:left w:val="single" w:color="C7CCD4" w:sz="2"/>
              <w:bottom w:val="single" w:color="C7CCD4" w:sz="2"/>
              <w:right w:val="single" w:color="C7CCD4" w:sz="2"/>
            </w:tcBorders>
            <w:tcMar>
              <w:top w:type="dxa" w:w="90"/>
              <w:left w:type="dxa" w:w="140"/>
              <w:bottom w:type="dxa" w:w="90"/>
              <w:right w:type="dxa" w:w="140"/>
            </w:tcMar>
            <w:vAlign w:val="top"/>
          </w:tcPr>
          <w:p>
            <w:pPr>
              <w:spacing w:after="0"/>
            </w:pPr>
            <w:r>
              <w:rPr>
                <w:i/>
                <w:iCs/>
                <w:color w:val="8A6420"/>
                <w:sz w:val="18"/>
                <w:szCs w:val="18"/>
              </w:rPr>
              <w:t xml:space="preserve">e.g. M. Rivera</w:t>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420" w:hRule="atLeast"/>
        </w:trPr>
        <w:tc>
          <w:tcPr>
            <w:tcW w:type="pct" w:w="42%"/>
            <w:tcBorders>
              <w:top w:val="single" w:color="C7CCD4" w:sz="2"/>
              <w:left w:val="single" w:color="C7CCD4" w:sz="2"/>
              <w:bottom w:val="single" w:color="C7CCD4" w:sz="2"/>
              <w:right w:val="single" w:color="C7CCD4" w:sz="2"/>
            </w:tcBorders>
            <w:shd w:fill="EFF2F6"/>
            <w:tcMar>
              <w:top w:type="dxa" w:w="90"/>
              <w:left w:type="dxa" w:w="140"/>
              <w:bottom w:type="dxa" w:w="90"/>
              <w:right w:type="dxa" w:w="140"/>
            </w:tcMar>
            <w:vAlign w:val="top"/>
          </w:tcPr>
          <w:p>
            <w:pPr>
              <w:spacing w:after="0"/>
            </w:pPr>
            <w:r>
              <w:rPr>
                <w:b/>
                <w:bCs/>
                <w:color w:val="1F2937"/>
                <w:sz w:val="22"/>
                <w:szCs w:val="22"/>
              </w:rPr>
              <w:t xml:space="preserve">Written up on</w:t>
            </w:r>
          </w:p>
        </w:tc>
        <w:tc>
          <w:tcPr>
            <w:tcW w:type="pct" w:w="58%"/>
            <w:tcBorders>
              <w:top w:val="single" w:color="C7CCD4" w:sz="2"/>
              <w:left w:val="single" w:color="C7CCD4" w:sz="2"/>
              <w:bottom w:val="single" w:color="C7CCD4" w:sz="2"/>
              <w:right w:val="single" w:color="C7CCD4" w:sz="2"/>
            </w:tcBorders>
            <w:tcMar>
              <w:top w:type="dxa" w:w="90"/>
              <w:left w:type="dxa" w:w="140"/>
              <w:bottom w:type="dxa" w:w="90"/>
              <w:right w:type="dxa" w:w="140"/>
            </w:tcMar>
            <w:vAlign w:val="top"/>
          </w:tcPr>
          <w:p>
            <w:pPr>
              <w:spacing w:after="0"/>
            </w:pPr>
            <w:r>
              <w:rPr>
                <w:i/>
                <w:iCs/>
                <w:color w:val="8A6420"/>
                <w:sz w:val="18"/>
                <w:szCs w:val="18"/>
              </w:rPr>
              <w:t xml:space="preserve">e.g. 14 March 2026</w:t>
            </w:r>
          </w:p>
        </w:tc>
      </w:tr>
    </w:tbl>
    <w:p>
      <w:pPr>
        <w:spacing w:before="280"/>
      </w:pPr>
      <w:r>
        <w:rPr>
          <w:i/>
          <w:iCs/>
          <w:color w:val="6B7280"/>
          <w:sz w:val="16"/>
          <w:szCs w:val="16"/>
        </w:rPr>
        <w:t xml:space="preserve">GHL Financial Services — for training and educational use. This worksheet is a record you keep; it is not tax, legal or accounting advice, and completing it does not determine any tax result. Figures and eligibility are reviewed during annual tax preparation. Where an agreement or other legal document is needed, consult an attorney.</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2"/>
        <w:szCs w:val="22"/>
      </w:rPr>
    </w:rPrDefault>
    <w:pPrDefault>
      <w:pPr>
        <w:spacing w:after="120"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GHL Financial Services</dc:creator>
  <cp:lastModifiedBy>Un-named</cp:lastModifiedBy>
  <cp:revision>1</cp:revision>
  <dcterms:created xsi:type="dcterms:W3CDTF">2026-09-26T15:31:26.605Z</dcterms:created>
  <dcterms:modified xsi:type="dcterms:W3CDTF">2026-09-26T15:31:26.605Z</dcterms:modified>
</cp:coreProperties>
</file>

<file path=docProps/custom.xml><?xml version="1.0" encoding="utf-8"?>
<Properties xmlns="http://schemas.openxmlformats.org/officeDocument/2006/custom-properties" xmlns:vt="http://schemas.openxmlformats.org/officeDocument/2006/docPropsVTypes"/>
</file>